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36"/>
          <w:szCs w:val="36"/>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w w:val="95"/>
          <w:sz w:val="44"/>
          <w:szCs w:val="44"/>
          <w:lang w:val="en-US" w:eastAsia="en-US" w:bidi="ar-SA"/>
        </w:rPr>
      </w:pPr>
      <w:r>
        <w:rPr>
          <w:rFonts w:hint="eastAsia" w:ascii="方正小标宋_GBK" w:hAnsi="方正小标宋_GBK" w:eastAsia="方正小标宋_GBK" w:cs="方正小标宋_GBK"/>
          <w:w w:val="95"/>
          <w:sz w:val="44"/>
          <w:szCs w:val="44"/>
          <w:lang w:val="en-US" w:eastAsia="en-US" w:bidi="ar-SA"/>
        </w:rPr>
        <w:t>新疆维吾尔自治区文化和旅游厅机关服务中心</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eastAsia" w:ascii="方正小标宋_GBK" w:hAnsi="方正小标宋_GBK" w:eastAsia="方正小标宋_GBK" w:cs="方正小标宋_GBK"/>
          <w:w w:val="95"/>
          <w:sz w:val="44"/>
          <w:szCs w:val="44"/>
          <w:lang w:val="en-US" w:eastAsia="en-US" w:bidi="ar-SA"/>
        </w:rPr>
      </w:pPr>
      <w:r>
        <w:rPr>
          <w:rFonts w:hint="eastAsia" w:ascii="方正小标宋_GBK" w:hAnsi="方正小标宋_GBK" w:eastAsia="方正小标宋_GBK" w:cs="方正小标宋_GBK"/>
          <w:w w:val="95"/>
          <w:sz w:val="44"/>
          <w:szCs w:val="44"/>
          <w:lang w:val="en-US" w:eastAsia="en-US" w:bidi="ar-SA"/>
        </w:rPr>
        <w:t>2024年度部门决算公开说明</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b w:val="0"/>
          <w:sz w:val="0"/>
          <w:szCs w:val="0"/>
        </w:rPr>
        <w:br w:type="page"/>
      </w:r>
      <w:r>
        <w:rPr>
          <w:rFonts w:hint="eastAsia" w:ascii="仿宋_GB2312" w:hAnsi="仿宋_GB2312" w:eastAsia="仿宋_GB2312" w:cs="仿宋_GB2312"/>
          <w:b/>
          <w:bCs w:val="0"/>
          <w:kern w:val="0"/>
          <w:sz w:val="36"/>
          <w:szCs w:val="36"/>
          <w:highlight w:val="none"/>
        </w:rPr>
        <w:t>目</w:t>
      </w:r>
      <w:r>
        <w:rPr>
          <w:rFonts w:hint="eastAsia" w:ascii="仿宋_GB2312" w:hAnsi="仿宋_GB2312" w:eastAsia="仿宋_GB2312" w:cs="仿宋_GB2312"/>
          <w:b/>
          <w:bCs w:val="0"/>
          <w:kern w:val="0"/>
          <w:sz w:val="36"/>
          <w:szCs w:val="36"/>
          <w:highlight w:val="none"/>
          <w:lang w:val="en-US" w:eastAsia="zh-CN"/>
        </w:rPr>
        <w:t xml:space="preserve"> </w:t>
      </w:r>
      <w:r>
        <w:rPr>
          <w:rFonts w:hint="eastAsia" w:ascii="仿宋_GB2312" w:hAnsi="仿宋_GB2312" w:eastAsia="仿宋_GB2312" w:cs="仿宋_GB2312"/>
          <w:b/>
          <w:bCs w:val="0"/>
          <w:kern w:val="0"/>
          <w:sz w:val="36"/>
          <w:szCs w:val="36"/>
          <w:highlight w:val="none"/>
        </w:rPr>
        <w:t>录</w:t>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_Toc11287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_Toc20011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_Toc9893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_Toc25988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_Toc688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_Toc17856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_Toc29956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_Toc25936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_Toc9174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_Toc23792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_Toc10960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_Toc4124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_Toc19007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_Toc10121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_Toc32313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_Toc30255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_Toc16573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_Toc32589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_Toc3606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二</w:t>
      </w:r>
      <w:r>
        <w:rPr>
          <w:rFonts w:hint="eastAsia" w:ascii="仿宋_GB2312" w:hAnsi="仿宋_GB2312" w:eastAsia="仿宋_GB2312" w:cs="仿宋_GB2312"/>
          <w:bCs/>
          <w:kern w:val="0"/>
          <w:sz w:val="32"/>
          <w:szCs w:val="32"/>
          <w:highlight w:val="none"/>
          <w:lang w:eastAsia="zh-CN"/>
        </w:rPr>
        <w:t>、其他需说明的事项</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_Toc9851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w:t>
      </w:r>
      <w:r>
        <w:rPr>
          <w:rFonts w:hint="eastAsia" w:ascii="仿宋_GB2312" w:hAnsi="仿宋_GB2312" w:eastAsia="仿宋_GB2312" w:cs="仿宋_GB2312"/>
          <w:b/>
          <w:bCs/>
          <w:sz w:val="32"/>
          <w:szCs w:val="32"/>
          <w:highlight w:val="none"/>
          <w:lang w:val="en-US" w:eastAsia="zh-CN"/>
        </w:rPr>
        <w:t>件1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_Toc25722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_Toc11095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_Toc25511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_Toc31346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_Toc6578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_Toc13584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_Toc19637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kinsoku/>
        <w:wordWrap/>
        <w:overflowPunct/>
        <w:topLinePunct w:val="0"/>
        <w:autoSpaceDE/>
        <w:autoSpaceDN/>
        <w:bidi w:val="0"/>
        <w:adjustRightInd/>
        <w:snapToGrid/>
        <w:spacing w:after="0" w:line="240" w:lineRule="auto"/>
        <w:jc w:val="both"/>
        <w:textAlignment w:val="auto"/>
        <w:outlineLvl w:val="0"/>
        <w:rPr>
          <w:rFonts w:ascii="黑体" w:eastAsia="黑体"/>
          <w:sz w:val="32"/>
          <w:szCs w:val="32"/>
        </w:rPr>
      </w:pPr>
      <w:r>
        <w:rPr>
          <w:rFonts w:hint="eastAsia" w:ascii="仿宋_GB2312" w:hAnsi="仿宋_GB2312" w:eastAsia="仿宋_GB2312" w:cs="仿宋_GB2312"/>
          <w:szCs w:val="32"/>
          <w:highlight w:val="none"/>
        </w:rPr>
        <w:fldChar w:fldCharType="end"/>
      </w:r>
      <w:r>
        <w:rPr>
          <w:rFonts w:hint="default" w:ascii="Times New Roman" w:hAnsi="Times New Roman" w:eastAsia="仿宋_GB2312" w:cs="Times New Roman"/>
          <w:b/>
          <w:sz w:val="32"/>
          <w:szCs w:val="32"/>
          <w:lang w:val="en-US" w:eastAsia="en-US" w:bidi="ar-SA"/>
        </w:rPr>
        <w:t>第</w:t>
      </w:r>
      <w:r>
        <w:rPr>
          <w:rFonts w:hint="eastAsia" w:ascii="Times New Roman" w:hAnsi="Times New Roman" w:eastAsia="仿宋_GB2312" w:cs="Times New Roman"/>
          <w:b/>
          <w:sz w:val="32"/>
          <w:szCs w:val="32"/>
          <w:lang w:val="en-US" w:eastAsia="zh-CN" w:bidi="ar-SA"/>
        </w:rPr>
        <w:t>五</w:t>
      </w:r>
      <w:r>
        <w:rPr>
          <w:rFonts w:hint="default" w:ascii="Times New Roman" w:hAnsi="Times New Roman" w:eastAsia="仿宋_GB2312" w:cs="Times New Roman"/>
          <w:b/>
          <w:sz w:val="32"/>
          <w:szCs w:val="32"/>
          <w:lang w:val="en-US" w:eastAsia="en-US" w:bidi="ar-SA"/>
        </w:rPr>
        <w:t>部分</w:t>
      </w:r>
      <w:r>
        <w:rPr>
          <w:rFonts w:hint="eastAsia" w:ascii="Times New Roman" w:hAnsi="Times New Roman" w:eastAsia="仿宋_GB2312" w:cs="Times New Roman"/>
          <w:b/>
          <w:sz w:val="32"/>
          <w:szCs w:val="32"/>
          <w:lang w:val="en-US" w:eastAsia="zh-CN" w:bidi="ar-SA"/>
        </w:rPr>
        <w:t xml:space="preserve"> 项目绩效自评表</w:t>
      </w:r>
      <w:r>
        <w:rPr>
          <w:rFonts w:hint="default" w:ascii="Times New Roman" w:hAnsi="Times New Roman" w:eastAsia="仿宋_GB2312" w:cs="Times New Roman"/>
          <w:b/>
          <w:sz w:val="32"/>
          <w:szCs w:val="32"/>
          <w:lang w:val="en-US" w:eastAsia="en-US" w:bidi="ar-SA"/>
        </w:rPr>
        <w:t>（</w:t>
      </w:r>
      <w:r>
        <w:rPr>
          <w:rFonts w:hint="default" w:ascii="仿宋_GB2312" w:hAnsi="仿宋_GB2312" w:eastAsia="仿宋_GB2312" w:cs="仿宋_GB2312"/>
          <w:b/>
          <w:bCs/>
          <w:sz w:val="32"/>
          <w:szCs w:val="32"/>
          <w:highlight w:val="none"/>
          <w:lang w:val="en-US" w:eastAsia="en-US" w:bidi="ar-SA"/>
        </w:rPr>
        <w:t>见附</w:t>
      </w:r>
      <w:r>
        <w:rPr>
          <w:rFonts w:hint="eastAsia" w:ascii="仿宋_GB2312" w:hAnsi="仿宋_GB2312" w:eastAsia="仿宋_GB2312" w:cs="仿宋_GB2312"/>
          <w:b/>
          <w:bCs/>
          <w:sz w:val="32"/>
          <w:szCs w:val="32"/>
          <w:highlight w:val="none"/>
          <w:lang w:val="en-US" w:eastAsia="zh-CN" w:bidi="ar-SA"/>
        </w:rPr>
        <w:t>件2</w:t>
      </w:r>
      <w:r>
        <w:rPr>
          <w:rFonts w:hint="default" w:ascii="仿宋_GB2312" w:hAnsi="仿宋_GB2312" w:eastAsia="仿宋_GB2312" w:cs="仿宋_GB2312"/>
          <w:b/>
          <w:bCs/>
          <w:sz w:val="32"/>
          <w:szCs w:val="32"/>
          <w:highlight w:val="none"/>
          <w:lang w:val="en-US" w:eastAsia="en-US" w:bidi="ar-SA"/>
        </w:rPr>
        <w:t>）</w:t>
      </w:r>
      <w:r>
        <w:rPr>
          <w:b w:val="0"/>
          <w:sz w:val="0"/>
          <w:szCs w:val="0"/>
        </w:rPr>
        <w:br w:type="page"/>
      </w:r>
      <w:r>
        <w:rPr>
          <w:rFonts w:hint="eastAsia" w:ascii="Times New Roman" w:hAnsi="Times New Roman" w:eastAsia="黑体" w:cs="Times New Roman"/>
          <w:sz w:val="32"/>
          <w:szCs w:val="32"/>
          <w:lang w:val="en-US" w:eastAsia="zh-CN" w:bidi="ar-SA"/>
        </w:rPr>
        <w:t xml:space="preserve">                              </w:t>
      </w:r>
      <w:r>
        <w:rPr>
          <w:rFonts w:hint="default" w:ascii="Times New Roman" w:hAnsi="Times New Roman" w:eastAsia="黑体" w:cs="Times New Roman"/>
          <w:sz w:val="32"/>
          <w:szCs w:val="32"/>
          <w:lang w:val="en-US" w:eastAsia="en-US" w:bidi="ar-SA"/>
        </w:rPr>
        <w:t>第一部分</w:t>
      </w:r>
      <w:r>
        <w:rPr>
          <w:rFonts w:hint="eastAsia" w:ascii="Times New Roman" w:hAnsi="Times New Roman" w:eastAsia="黑体" w:cs="Times New Roman"/>
          <w:sz w:val="32"/>
          <w:szCs w:val="32"/>
          <w:lang w:val="en-US" w:eastAsia="zh-CN" w:bidi="ar-SA"/>
        </w:rPr>
        <w:t xml:space="preserve"> </w:t>
      </w:r>
      <w:r>
        <w:rPr>
          <w:rFonts w:hint="default" w:ascii="Times New Roman" w:hAnsi="Times New Roman" w:eastAsia="黑体" w:cs="Times New Roman"/>
          <w:sz w:val="32"/>
          <w:szCs w:val="32"/>
          <w:lang w:val="en-US" w:eastAsia="en-US" w:bidi="ar-SA"/>
        </w:rPr>
        <w:t>单位概况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新疆维吾尔自治区文化和旅游厅机关服务中心为新疆维吾尔自治区文化和旅游厅直属事业单位</w:t>
      </w:r>
      <w:r>
        <w:rPr>
          <w:rFonts w:hint="eastAsia" w:ascii="仿宋_GB2312" w:eastAsia="仿宋_GB2312"/>
          <w:b w:val="0"/>
          <w:sz w:val="32"/>
          <w:szCs w:val="32"/>
          <w:lang w:eastAsia="zh-CN"/>
        </w:rPr>
        <w:t>。</w:t>
      </w:r>
      <w:r>
        <w:rPr>
          <w:rFonts w:ascii="仿宋_GB2312" w:eastAsia="仿宋_GB2312"/>
          <w:b w:val="0"/>
          <w:sz w:val="32"/>
          <w:szCs w:val="32"/>
        </w:rPr>
        <w:t>主要为机关办公和职工生活提供后勤服务、机关后勤服务工作。</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（一）承担厅机关委托的房产；厅机关交由其使用的国有资产管理工作，使经营性资产保值增值；承担厅机关固定资产登记管理工作；</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（二）负责厅机关并指导厅直属事业单位的办公用房、公务用车管理、公共机构节能减排等工作；</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（三）承担厅机关国有资产管理、负责厅机关房产、基本建设、房屋修缮、绿化美化、人防、机关食堂及家属院住宅楼水、电、暖气、天然气、有线电视、网管线等相关物业等监督管理工作；</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（四）负责厅机关的部分政府采购、公务接待、会议保障等工作；</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（五）配合厅机关做好爱国卫生、消防、绿化、计划生育、健康教育等社会事务；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（六）承办厅机关划转的行政事务性工作，完成厅机关领导交办的其他事项。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新疆维吾尔自治区文化和旅游厅机关服务中心2024年度，实有人数105人，其中：在职人员17人，减少1人；离休人员1人，</w:t>
      </w:r>
      <w:r>
        <w:rPr>
          <w:rFonts w:hint="eastAsia" w:ascii="仿宋_GB2312" w:eastAsia="仿宋_GB2312"/>
          <w:b w:val="0"/>
          <w:sz w:val="32"/>
          <w:szCs w:val="32"/>
          <w:lang w:eastAsia="zh-CN"/>
        </w:rPr>
        <w:t>减少</w:t>
      </w:r>
      <w:r>
        <w:rPr>
          <w:rFonts w:hint="eastAsia" w:ascii="仿宋_GB2312" w:eastAsia="仿宋_GB2312"/>
          <w:b w:val="0"/>
          <w:sz w:val="32"/>
          <w:szCs w:val="32"/>
          <w:lang w:val="en-US" w:eastAsia="zh-CN"/>
        </w:rPr>
        <w:t>0人</w:t>
      </w:r>
      <w:r>
        <w:rPr>
          <w:rFonts w:ascii="仿宋_GB2312" w:eastAsia="仿宋_GB2312"/>
          <w:b w:val="0"/>
          <w:sz w:val="32"/>
          <w:szCs w:val="32"/>
        </w:rPr>
        <w:t>；退休人员87人，减少1人。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新疆维吾尔自治区文化和旅游厅机关服务中心无下属预算单位，下设6个科室，分别是：办公室、人事科、资产管理科、物业管理科、财务科、车辆综合保障科。</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2024年度收入总计849.93万元，</w:t>
      </w:r>
      <w:r>
        <w:rPr>
          <w:rFonts w:ascii="仿宋_GB2312" w:eastAsia="仿宋_GB2312"/>
          <w:b w:val="0"/>
          <w:sz w:val="32"/>
          <w:szCs w:val="32"/>
        </w:rPr>
        <w:t>其中：本年收入合计849.93万元，使用非财政拨款结余（含专用结余）0.00万元，年初结转和结余0.00万元。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2024年度支出总计849.93万元，</w:t>
      </w:r>
      <w:r>
        <w:rPr>
          <w:rFonts w:ascii="仿宋_GB2312" w:eastAsia="仿宋_GB2312"/>
          <w:b w:val="0"/>
          <w:sz w:val="32"/>
          <w:szCs w:val="32"/>
        </w:rPr>
        <w:t>其中：本年支出合计849.93万元，结余分配0.00万元，年末结转和结余0.00万元。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收入支出总体与上年相比，</w:t>
      </w:r>
      <w:r>
        <w:rPr>
          <w:rFonts w:ascii="仿宋_GB2312" w:eastAsia="仿宋_GB2312"/>
          <w:b w:val="0"/>
          <w:sz w:val="32"/>
          <w:szCs w:val="32"/>
        </w:rPr>
        <w:t>减少12.02万元，下降1.39%，主要原因是：2024年在职转退休1人，人员经费减少。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本年收入849.93万元，</w:t>
      </w:r>
      <w:r>
        <w:rPr>
          <w:rFonts w:ascii="仿宋_GB2312" w:eastAsia="仿宋_GB2312"/>
          <w:b w:val="0"/>
          <w:sz w:val="32"/>
          <w:szCs w:val="32"/>
        </w:rPr>
        <w:t>其中：财政拨款收入849.62万元,占99.96%；上级补助收入0.00万元,占0.00%；事业收入0.00万元，占0.00%；经营收入0.00万元,占0.00%；附属单位上缴收入0.00万元，占0.00%；其他收入0.31万元，占0.04%。</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本年支出849.93万元，</w:t>
      </w:r>
      <w:r>
        <w:rPr>
          <w:rFonts w:ascii="仿宋_GB2312" w:eastAsia="仿宋_GB2312"/>
          <w:b w:val="0"/>
          <w:sz w:val="32"/>
          <w:szCs w:val="32"/>
        </w:rPr>
        <w:t>其中：基本支出620.79万元，占73.04%；项目支出229.13万元，占26.96%；上缴上级支出0.00万元，占0.00%；经营支出0.00万元，占0.00%；对附属单位补助支出0.00万元，占0.00%。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2024年度财政拨款收入总计849.62万元，</w:t>
      </w:r>
      <w:r>
        <w:rPr>
          <w:rFonts w:ascii="仿宋_GB2312" w:eastAsia="仿宋_GB2312"/>
          <w:b w:val="0"/>
          <w:sz w:val="32"/>
          <w:szCs w:val="32"/>
        </w:rPr>
        <w:t>其中：年初财政拨款结转和结余0.00万元，本年财政拨款收入849.62万元。</w:t>
      </w:r>
      <w:r>
        <w:rPr>
          <w:rFonts w:ascii="仿宋_GB2312" w:eastAsia="仿宋_GB2312"/>
          <w:b/>
          <w:bCs/>
          <w:sz w:val="32"/>
          <w:szCs w:val="32"/>
        </w:rPr>
        <w:t>财政拨款支出总计849.62万元，</w:t>
      </w:r>
      <w:r>
        <w:rPr>
          <w:rFonts w:ascii="仿宋_GB2312" w:eastAsia="仿宋_GB2312"/>
          <w:b w:val="0"/>
          <w:sz w:val="32"/>
          <w:szCs w:val="32"/>
        </w:rPr>
        <w:t>其中：年末财政拨款结转和结余0.00万元，本年财政拨款支出849.62万元。</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财政拨款收入支出总体与上年相比，</w:t>
      </w:r>
      <w:r>
        <w:rPr>
          <w:rFonts w:ascii="仿宋_GB2312" w:eastAsia="仿宋_GB2312"/>
          <w:b w:val="0"/>
          <w:sz w:val="32"/>
          <w:szCs w:val="32"/>
        </w:rPr>
        <w:t>减少12.08万元，下降1.40%，主要原因是：2024年在职转退休1人，人员经费减少。</w:t>
      </w:r>
      <w:r>
        <w:rPr>
          <w:rFonts w:ascii="仿宋_GB2312" w:eastAsia="仿宋_GB2312"/>
          <w:b/>
          <w:bCs/>
          <w:sz w:val="32"/>
          <w:szCs w:val="32"/>
        </w:rPr>
        <w:t>与年初预算相比，</w:t>
      </w:r>
      <w:r>
        <w:rPr>
          <w:rFonts w:ascii="仿宋_GB2312" w:eastAsia="仿宋_GB2312"/>
          <w:b w:val="0"/>
          <w:sz w:val="32"/>
          <w:szCs w:val="32"/>
        </w:rPr>
        <w:t>年初预算数788.37万元，决算数849.62万元，预决算差异率7.77%，主要原因是：</w:t>
      </w:r>
      <w:r>
        <w:rPr>
          <w:rFonts w:hint="eastAsia" w:ascii="仿宋_GB2312" w:eastAsia="仿宋_GB2312"/>
          <w:b w:val="0"/>
          <w:sz w:val="32"/>
          <w:szCs w:val="32"/>
          <w:lang w:val="en-US" w:eastAsia="zh-CN"/>
        </w:rPr>
        <w:t>一是</w:t>
      </w:r>
      <w:r>
        <w:rPr>
          <w:rFonts w:ascii="仿宋_GB2312" w:eastAsia="仿宋_GB2312"/>
          <w:b w:val="0"/>
          <w:sz w:val="32"/>
          <w:szCs w:val="32"/>
        </w:rPr>
        <w:t>职工正常性增资；</w:t>
      </w:r>
      <w:r>
        <w:rPr>
          <w:rFonts w:hint="eastAsia" w:ascii="仿宋_GB2312" w:eastAsia="仿宋_GB2312"/>
          <w:b w:val="0"/>
          <w:sz w:val="32"/>
          <w:szCs w:val="32"/>
          <w:lang w:val="en-US" w:eastAsia="zh-CN"/>
        </w:rPr>
        <w:t>二是</w:t>
      </w:r>
      <w:r>
        <w:rPr>
          <w:rFonts w:ascii="仿宋_GB2312" w:eastAsia="仿宋_GB2312"/>
          <w:b w:val="0"/>
          <w:sz w:val="32"/>
          <w:szCs w:val="32"/>
        </w:rPr>
        <w:t>申请以前年度3名职工调入差额单位职业年金和2名病故职工丧葬费抚恤金。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2024年度一般公共预算财政拨款支出849.62万元，</w:t>
      </w:r>
      <w:r>
        <w:rPr>
          <w:rFonts w:ascii="仿宋_GB2312" w:eastAsia="仿宋_GB2312"/>
          <w:b w:val="0"/>
          <w:sz w:val="32"/>
          <w:szCs w:val="32"/>
        </w:rPr>
        <w:t>占本年支出合计的99.96%。</w:t>
      </w:r>
      <w:r>
        <w:rPr>
          <w:rFonts w:ascii="仿宋_GB2312" w:eastAsia="仿宋_GB2312"/>
          <w:b/>
          <w:bCs/>
          <w:sz w:val="32"/>
          <w:szCs w:val="32"/>
        </w:rPr>
        <w:t>与上年相比，</w:t>
      </w:r>
      <w:r>
        <w:rPr>
          <w:rFonts w:ascii="仿宋_GB2312" w:eastAsia="仿宋_GB2312"/>
          <w:b w:val="0"/>
          <w:sz w:val="32"/>
          <w:szCs w:val="32"/>
        </w:rPr>
        <w:t>减少12.08万元，下降1.40%，主要原因是：2024年在职转退休1人，人员经费减少。</w:t>
      </w:r>
      <w:r>
        <w:rPr>
          <w:rFonts w:ascii="仿宋_GB2312" w:eastAsia="仿宋_GB2312"/>
          <w:b/>
          <w:bCs/>
          <w:sz w:val="32"/>
          <w:szCs w:val="32"/>
        </w:rPr>
        <w:t>与年初预算相比，</w:t>
      </w:r>
      <w:r>
        <w:rPr>
          <w:rFonts w:ascii="仿宋_GB2312" w:eastAsia="仿宋_GB2312"/>
          <w:b w:val="0"/>
          <w:sz w:val="32"/>
          <w:szCs w:val="32"/>
        </w:rPr>
        <w:t>年初预算数788.37万元，决算数849.62万元，预决算差异率7.77%，主要原因是：一是职工正常性增资；二是申请以前年度3名职工调入差额单位职业年金和2名病故职工丧葬费抚恤金。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文化旅游体育与传媒支出（类）766.09万元，占90.17%。</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社会保障和就业支出（类）57.28万元，占6.74%。</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住房保障支出（类）26.25万元，占3.09%。</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文化旅游体育与传媒支出（类）文化和旅游（款）机关服务（项）：支出决算数为766.09万元，比上年决算减少95.38万元，下降11.07%，主要原因是</w:t>
      </w:r>
      <w:r>
        <w:rPr>
          <w:rFonts w:hint="eastAsia" w:ascii="仿宋_GB2312" w:eastAsia="仿宋_GB2312"/>
          <w:b w:val="0"/>
          <w:sz w:val="32"/>
          <w:szCs w:val="32"/>
          <w:lang w:eastAsia="zh-CN"/>
        </w:rPr>
        <w:t>：</w:t>
      </w:r>
      <w:r>
        <w:rPr>
          <w:rFonts w:ascii="仿宋_GB2312" w:eastAsia="仿宋_GB2312"/>
          <w:sz w:val="32"/>
          <w:szCs w:val="32"/>
        </w:rPr>
        <w:t>本年进行了类款项调整，2023年决算中该类款项在文化旅游体育与传媒支出（类）文化和旅游（款）</w:t>
      </w:r>
      <w:r>
        <w:rPr>
          <w:rFonts w:hint="eastAsia" w:ascii="仿宋_GB2312" w:eastAsia="仿宋_GB2312"/>
          <w:sz w:val="32"/>
          <w:szCs w:val="32"/>
          <w:lang w:val="en-US" w:eastAsia="zh-CN"/>
        </w:rPr>
        <w:t>机关服务（项）</w:t>
      </w:r>
      <w:r>
        <w:rPr>
          <w:rFonts w:ascii="仿宋_GB2312" w:eastAsia="仿宋_GB2312"/>
          <w:sz w:val="32"/>
          <w:szCs w:val="32"/>
        </w:rPr>
        <w:t>列支。</w:t>
      </w:r>
    </w:p>
    <w:p>
      <w:pPr>
        <w:keepNext w:val="0"/>
        <w:keepLines w:val="0"/>
        <w:pageBreakBefore w:val="0"/>
        <w:widowControl/>
        <w:numPr>
          <w:ilvl w:val="0"/>
          <w:numId w:val="0"/>
        </w:numPr>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社会保障和就业支出（类）行政事业单位养老支出（款）事业单位离退休（项）：支出决算数</w:t>
      </w:r>
      <w:r>
        <w:rPr>
          <w:rFonts w:ascii="仿宋_GB2312" w:eastAsia="仿宋_GB2312"/>
          <w:b w:val="0"/>
          <w:sz w:val="32"/>
          <w:szCs w:val="32"/>
          <w:highlight w:val="none"/>
        </w:rPr>
        <w:t>为22.29万元，比上年决算增加22.06万元，增长</w:t>
      </w:r>
      <w:r>
        <w:rPr>
          <w:rFonts w:ascii="仿宋_GB2312" w:eastAsia="仿宋_GB2312"/>
          <w:b w:val="0"/>
          <w:color w:val="auto"/>
          <w:sz w:val="32"/>
          <w:szCs w:val="32"/>
          <w:highlight w:val="none"/>
        </w:rPr>
        <w:t>9,591.30%</w:t>
      </w:r>
      <w:r>
        <w:rPr>
          <w:rFonts w:ascii="仿宋_GB2312" w:eastAsia="仿宋_GB2312"/>
          <w:b w:val="0"/>
          <w:sz w:val="32"/>
          <w:szCs w:val="32"/>
          <w:highlight w:val="none"/>
        </w:rPr>
        <w:t>，</w:t>
      </w:r>
      <w:r>
        <w:rPr>
          <w:rFonts w:ascii="仿宋_GB2312" w:eastAsia="仿宋_GB2312"/>
          <w:b w:val="0"/>
          <w:sz w:val="32"/>
          <w:szCs w:val="32"/>
        </w:rPr>
        <w:t>主要原因是：</w:t>
      </w:r>
      <w:r>
        <w:rPr>
          <w:rFonts w:ascii="仿宋_GB2312" w:eastAsia="仿宋_GB2312"/>
          <w:sz w:val="32"/>
          <w:szCs w:val="32"/>
        </w:rPr>
        <w:t>本年进行了类款项调整，2023年决算中该类款项在文化旅游体育与传媒支出（类）文化和旅游（款）</w:t>
      </w:r>
      <w:r>
        <w:rPr>
          <w:rFonts w:hint="eastAsia" w:ascii="仿宋_GB2312" w:eastAsia="仿宋_GB2312"/>
          <w:sz w:val="32"/>
          <w:szCs w:val="32"/>
          <w:lang w:val="en-US" w:eastAsia="zh-CN"/>
        </w:rPr>
        <w:t>机关服务（项）</w:t>
      </w:r>
      <w:r>
        <w:rPr>
          <w:rFonts w:ascii="仿宋_GB2312" w:eastAsia="仿宋_GB2312"/>
          <w:sz w:val="32"/>
          <w:szCs w:val="32"/>
        </w:rPr>
        <w:t>列支。</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社会保障和就业支出（类）行政事业单位养老支出（款）机关事业单位基本养老保险缴费支出（项）：支出决算数为35.00万元，比上年决算增加35.00万元，增长100.00%，主要原因是：</w:t>
      </w:r>
      <w:r>
        <w:rPr>
          <w:rFonts w:ascii="仿宋_GB2312" w:eastAsia="仿宋_GB2312"/>
          <w:sz w:val="32"/>
          <w:szCs w:val="32"/>
        </w:rPr>
        <w:t>本年进行了类款项调整，2023年决算中该类款项在文化旅游体育与传媒支出（类）文化和旅游（款）</w:t>
      </w:r>
      <w:r>
        <w:rPr>
          <w:rFonts w:hint="eastAsia" w:ascii="仿宋_GB2312" w:eastAsia="仿宋_GB2312"/>
          <w:sz w:val="32"/>
          <w:szCs w:val="32"/>
          <w:lang w:val="en-US" w:eastAsia="zh-CN"/>
        </w:rPr>
        <w:t>机关服务（项）</w:t>
      </w:r>
      <w:r>
        <w:rPr>
          <w:rFonts w:ascii="仿宋_GB2312" w:eastAsia="仿宋_GB2312"/>
          <w:sz w:val="32"/>
          <w:szCs w:val="32"/>
        </w:rPr>
        <w:t>列支。</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住房保障支出（类）住房改革支出（款）住房公积金（项）：支出决算数为26.25万元，比上年决算增加26.25万元，增长100.00%，主要原因是：</w:t>
      </w:r>
      <w:r>
        <w:rPr>
          <w:rFonts w:ascii="仿宋_GB2312" w:eastAsia="仿宋_GB2312"/>
          <w:sz w:val="32"/>
          <w:szCs w:val="32"/>
        </w:rPr>
        <w:t>本年进行了类款项调整，2023年决算中该类款项在文化旅游体育与传媒支出（类）文化和旅游（款）</w:t>
      </w:r>
      <w:r>
        <w:rPr>
          <w:rFonts w:hint="eastAsia" w:ascii="仿宋_GB2312" w:eastAsia="仿宋_GB2312"/>
          <w:sz w:val="32"/>
          <w:szCs w:val="32"/>
          <w:lang w:val="en-US" w:eastAsia="zh-CN"/>
        </w:rPr>
        <w:t>机关服务（项）</w:t>
      </w:r>
      <w:r>
        <w:rPr>
          <w:rFonts w:ascii="仿宋_GB2312" w:eastAsia="仿宋_GB2312"/>
          <w:sz w:val="32"/>
          <w:szCs w:val="32"/>
        </w:rPr>
        <w:t>列支。</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2024年度一般公共预算财政拨款基本支出620.62万元，其中：</w:t>
      </w:r>
      <w:r>
        <w:rPr>
          <w:rFonts w:ascii="仿宋_GB2312" w:eastAsia="仿宋_GB2312"/>
          <w:b/>
          <w:bCs/>
          <w:sz w:val="32"/>
          <w:szCs w:val="32"/>
        </w:rPr>
        <w:t>人员经费595.72万元，</w:t>
      </w:r>
      <w:r>
        <w:rPr>
          <w:rFonts w:ascii="仿宋_GB2312" w:eastAsia="仿宋_GB2312"/>
          <w:b w:val="0"/>
          <w:sz w:val="32"/>
          <w:szCs w:val="32"/>
        </w:rPr>
        <w:t>包括：基本工资、津贴补贴、奖金、绩效工资、机关事业单位基本养老保险缴费、职业年金缴费、职工基本医疗保险缴费、公务员医疗补助缴费、其他社会保障缴费、住房公积金、其他工资福利支出、离休费、退休费、抚恤金、生活补助、医疗费补助、奖励金和其他对个人和家庭的补助。</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公用经费24.90万元，</w:t>
      </w:r>
      <w:r>
        <w:rPr>
          <w:rFonts w:ascii="仿宋_GB2312" w:eastAsia="仿宋_GB2312"/>
          <w:b w:val="0"/>
          <w:sz w:val="32"/>
          <w:szCs w:val="32"/>
        </w:rPr>
        <w:t>包括：办公费、咨询费、手续费、电费、邮电费、差旅费、专用材料费、委托业务费、工会经费、福利费、其他交通费用和其他商品和服务支出。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w:t>
      </w:r>
      <w:r>
        <w:rPr>
          <w:rFonts w:ascii="黑体" w:eastAsia="黑体"/>
          <w:b w:val="0"/>
          <w:sz w:val="32"/>
          <w:szCs w:val="32"/>
        </w:rPr>
        <w:t>三公</w:t>
      </w:r>
      <w:r>
        <w:rPr>
          <w:rFonts w:hint="eastAsia" w:ascii="黑体" w:eastAsia="黑体"/>
          <w:b w:val="0"/>
          <w:sz w:val="32"/>
          <w:szCs w:val="32"/>
          <w:lang w:eastAsia="zh-CN"/>
        </w:rPr>
        <w:t>”</w:t>
      </w:r>
      <w:r>
        <w:rPr>
          <w:rFonts w:ascii="黑体" w:eastAsia="黑体"/>
          <w:b w:val="0"/>
          <w:sz w:val="32"/>
          <w:szCs w:val="32"/>
        </w:rPr>
        <w:t>经费支出决算情况说明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hint="eastAsia" w:ascii="仿宋_GB2312" w:hAnsi="仿宋_GB2312" w:eastAsia="仿宋_GB2312" w:cs="仿宋_GB2312"/>
          <w:b/>
          <w:bCs/>
          <w:sz w:val="32"/>
          <w:szCs w:val="32"/>
        </w:rPr>
        <w:t>2024年度财政拨款“三公”经费支出0.00万元，</w:t>
      </w:r>
      <w:r>
        <w:rPr>
          <w:rFonts w:hint="eastAsia" w:ascii="仿宋_GB2312" w:eastAsia="仿宋_GB2312"/>
          <w:b w:val="0"/>
          <w:sz w:val="32"/>
          <w:szCs w:val="32"/>
          <w:lang w:eastAsia="zh-CN"/>
        </w:rPr>
        <w:t>比</w:t>
      </w:r>
      <w:r>
        <w:rPr>
          <w:rFonts w:ascii="仿宋_GB2312" w:eastAsia="仿宋_GB2312"/>
          <w:b w:val="0"/>
          <w:sz w:val="32"/>
          <w:szCs w:val="32"/>
        </w:rPr>
        <w:t>上年</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0.00万元，增长0.00%，</w:t>
      </w:r>
      <w:r>
        <w:rPr>
          <w:rFonts w:ascii="仿宋_GB2312" w:eastAsia="仿宋_GB2312"/>
          <w:b w:val="0"/>
          <w:sz w:val="32"/>
          <w:szCs w:val="32"/>
        </w:rPr>
        <w:t>主要原因是：2023年与2024年均未安排</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w:t>
      </w:r>
      <w:r>
        <w:rPr>
          <w:rFonts w:hint="eastAsia" w:ascii="仿宋_GB2312" w:eastAsia="仿宋_GB2312"/>
          <w:b w:val="0"/>
          <w:sz w:val="32"/>
          <w:szCs w:val="32"/>
          <w:lang w:eastAsia="zh-CN"/>
        </w:rPr>
        <w:t>支出</w:t>
      </w:r>
      <w:r>
        <w:rPr>
          <w:rFonts w:ascii="仿宋_GB2312" w:eastAsia="仿宋_GB2312"/>
          <w:b w:val="0"/>
          <w:sz w:val="32"/>
          <w:szCs w:val="32"/>
        </w:rPr>
        <w:t>。其中：因公出国（境）费支出0.00万元,占0.00%，</w:t>
      </w:r>
      <w:r>
        <w:rPr>
          <w:rFonts w:hint="eastAsia" w:ascii="仿宋_GB2312" w:eastAsia="仿宋_GB2312"/>
          <w:b w:val="0"/>
          <w:sz w:val="32"/>
          <w:szCs w:val="32"/>
          <w:lang w:eastAsia="zh-CN"/>
        </w:rPr>
        <w:t>比</w:t>
      </w:r>
      <w:r>
        <w:rPr>
          <w:rFonts w:ascii="仿宋_GB2312" w:eastAsia="仿宋_GB2312"/>
          <w:b w:val="0"/>
          <w:sz w:val="32"/>
          <w:szCs w:val="32"/>
        </w:rPr>
        <w:t>上年</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0.00万元，增长0.00%，</w:t>
      </w:r>
      <w:r>
        <w:rPr>
          <w:rFonts w:ascii="仿宋_GB2312" w:eastAsia="仿宋_GB2312"/>
          <w:b w:val="0"/>
          <w:sz w:val="32"/>
          <w:szCs w:val="32"/>
        </w:rPr>
        <w:t>主要原因是：</w:t>
      </w:r>
      <w:bookmarkStart w:id="0" w:name="OLE_LINK1"/>
      <w:r>
        <w:rPr>
          <w:rFonts w:ascii="仿宋_GB2312" w:eastAsia="仿宋_GB2312"/>
          <w:b w:val="0"/>
          <w:sz w:val="32"/>
          <w:szCs w:val="32"/>
        </w:rPr>
        <w:t>2023年与2024年均未安排因公出国（境）</w:t>
      </w:r>
      <w:r>
        <w:rPr>
          <w:rFonts w:hint="eastAsia" w:ascii="仿宋_GB2312" w:eastAsia="仿宋_GB2312"/>
          <w:b w:val="0"/>
          <w:sz w:val="32"/>
          <w:szCs w:val="32"/>
          <w:lang w:val="en-US" w:eastAsia="zh-CN"/>
        </w:rPr>
        <w:t>经</w:t>
      </w:r>
      <w:r>
        <w:rPr>
          <w:rFonts w:ascii="仿宋_GB2312" w:eastAsia="仿宋_GB2312"/>
          <w:b w:val="0"/>
          <w:sz w:val="32"/>
          <w:szCs w:val="32"/>
        </w:rPr>
        <w:t>费</w:t>
      </w:r>
      <w:bookmarkEnd w:id="0"/>
      <w:r>
        <w:rPr>
          <w:rFonts w:hint="eastAsia" w:ascii="仿宋_GB2312" w:eastAsia="仿宋_GB2312"/>
          <w:b w:val="0"/>
          <w:sz w:val="32"/>
          <w:szCs w:val="32"/>
          <w:lang w:eastAsia="zh-CN"/>
        </w:rPr>
        <w:t>支出</w:t>
      </w:r>
      <w:r>
        <w:rPr>
          <w:rFonts w:ascii="仿宋_GB2312" w:eastAsia="仿宋_GB2312"/>
          <w:b w:val="0"/>
          <w:sz w:val="32"/>
          <w:szCs w:val="32"/>
        </w:rPr>
        <w:t>；公务用车购置及运行维护费支出0.00万元，占0.00%，</w:t>
      </w:r>
      <w:r>
        <w:rPr>
          <w:rFonts w:hint="eastAsia" w:ascii="仿宋_GB2312" w:eastAsia="仿宋_GB2312"/>
          <w:b w:val="0"/>
          <w:sz w:val="32"/>
          <w:szCs w:val="32"/>
          <w:lang w:eastAsia="zh-CN"/>
        </w:rPr>
        <w:t>比</w:t>
      </w:r>
      <w:r>
        <w:rPr>
          <w:rFonts w:ascii="仿宋_GB2312" w:eastAsia="仿宋_GB2312"/>
          <w:b w:val="0"/>
          <w:sz w:val="32"/>
          <w:szCs w:val="32"/>
        </w:rPr>
        <w:t>上年</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0.00万元，增长0.00%，</w:t>
      </w:r>
      <w:r>
        <w:rPr>
          <w:rFonts w:ascii="仿宋_GB2312" w:eastAsia="仿宋_GB2312"/>
          <w:b w:val="0"/>
          <w:sz w:val="32"/>
          <w:szCs w:val="32"/>
        </w:rPr>
        <w:t>主要原因是：2023年与2024年均未安排公务用车购置及运行维护费</w:t>
      </w:r>
      <w:r>
        <w:rPr>
          <w:rFonts w:hint="eastAsia" w:ascii="仿宋_GB2312" w:eastAsia="仿宋_GB2312"/>
          <w:b w:val="0"/>
          <w:sz w:val="32"/>
          <w:szCs w:val="32"/>
          <w:lang w:eastAsia="zh-CN"/>
        </w:rPr>
        <w:t>支出</w:t>
      </w:r>
      <w:r>
        <w:rPr>
          <w:rFonts w:ascii="仿宋_GB2312" w:eastAsia="仿宋_GB2312"/>
          <w:b w:val="0"/>
          <w:sz w:val="32"/>
          <w:szCs w:val="32"/>
        </w:rPr>
        <w:t>；公务接待费支出0.00万元，占0.00%，</w:t>
      </w:r>
      <w:r>
        <w:rPr>
          <w:rFonts w:hint="eastAsia" w:ascii="仿宋_GB2312" w:eastAsia="仿宋_GB2312"/>
          <w:b w:val="0"/>
          <w:sz w:val="32"/>
          <w:szCs w:val="32"/>
          <w:lang w:eastAsia="zh-CN"/>
        </w:rPr>
        <w:t>比</w:t>
      </w:r>
      <w:r>
        <w:rPr>
          <w:rFonts w:ascii="仿宋_GB2312" w:eastAsia="仿宋_GB2312"/>
          <w:b w:val="0"/>
          <w:sz w:val="32"/>
          <w:szCs w:val="32"/>
        </w:rPr>
        <w:t>上年</w:t>
      </w:r>
      <w:r>
        <w:rPr>
          <w:rFonts w:hint="eastAsia" w:ascii="仿宋_GB2312" w:eastAsia="仿宋_GB2312"/>
          <w:b w:val="0"/>
          <w:sz w:val="32"/>
          <w:szCs w:val="32"/>
          <w:lang w:eastAsia="zh-CN"/>
        </w:rPr>
        <w:t>增加</w:t>
      </w:r>
      <w:r>
        <w:rPr>
          <w:rFonts w:hint="eastAsia" w:ascii="仿宋_GB2312" w:eastAsia="仿宋_GB2312"/>
          <w:b w:val="0"/>
          <w:sz w:val="32"/>
          <w:szCs w:val="32"/>
          <w:lang w:val="en-US" w:eastAsia="zh-CN"/>
        </w:rPr>
        <w:t>0.00万元，增长0.00%，</w:t>
      </w:r>
      <w:r>
        <w:rPr>
          <w:rFonts w:ascii="仿宋_GB2312" w:eastAsia="仿宋_GB2312"/>
          <w:b w:val="0"/>
          <w:sz w:val="32"/>
          <w:szCs w:val="32"/>
        </w:rPr>
        <w:t>主要原因是：2023年与2024年均未安排公务接待</w:t>
      </w:r>
      <w:r>
        <w:rPr>
          <w:rFonts w:hint="eastAsia" w:ascii="仿宋_GB2312" w:eastAsia="仿宋_GB2312"/>
          <w:b w:val="0"/>
          <w:sz w:val="32"/>
          <w:szCs w:val="32"/>
          <w:lang w:val="en-US" w:eastAsia="zh-CN"/>
        </w:rPr>
        <w:t>经</w:t>
      </w:r>
      <w:r>
        <w:rPr>
          <w:rFonts w:ascii="仿宋_GB2312" w:eastAsia="仿宋_GB2312"/>
          <w:b w:val="0"/>
          <w:sz w:val="32"/>
          <w:szCs w:val="32"/>
        </w:rPr>
        <w:t>费</w:t>
      </w:r>
      <w:r>
        <w:rPr>
          <w:rFonts w:hint="eastAsia" w:ascii="仿宋_GB2312" w:eastAsia="仿宋_GB2312"/>
          <w:b w:val="0"/>
          <w:sz w:val="32"/>
          <w:szCs w:val="32"/>
          <w:lang w:eastAsia="zh-CN"/>
        </w:rPr>
        <w:t>支出</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left"/>
        <w:textAlignment w:val="auto"/>
        <w:rPr>
          <w:rFonts w:ascii="仿宋_GB2312" w:eastAsia="仿宋_GB2312"/>
          <w:b/>
          <w:bCs/>
          <w:sz w:val="32"/>
          <w:szCs w:val="32"/>
        </w:rPr>
      </w:pPr>
      <w:r>
        <w:rPr>
          <w:rFonts w:ascii="仿宋_GB2312" w:eastAsia="仿宋_GB2312"/>
          <w:b/>
          <w:bCs/>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本</w:t>
      </w:r>
      <w:r>
        <w:rPr>
          <w:rFonts w:ascii="仿宋_GB2312" w:eastAsia="仿宋_GB2312"/>
          <w:b w:val="0"/>
          <w:sz w:val="32"/>
          <w:szCs w:val="32"/>
        </w:rPr>
        <w:t>单位年初预算</w:t>
      </w:r>
      <w:r>
        <w:rPr>
          <w:rFonts w:hint="eastAsia" w:ascii="仿宋_GB2312" w:eastAsia="仿宋_GB2312"/>
          <w:b w:val="0"/>
          <w:sz w:val="32"/>
          <w:szCs w:val="32"/>
          <w:lang w:val="en-US" w:eastAsia="zh-CN"/>
        </w:rPr>
        <w:t>未安排</w:t>
      </w:r>
      <w:r>
        <w:rPr>
          <w:rFonts w:ascii="仿宋_GB2312" w:eastAsia="仿宋_GB2312"/>
          <w:b w:val="0"/>
          <w:sz w:val="32"/>
          <w:szCs w:val="32"/>
        </w:rPr>
        <w:t>因公出国（境）费</w:t>
      </w:r>
      <w:r>
        <w:rPr>
          <w:rFonts w:hint="eastAsia" w:ascii="仿宋_GB2312" w:eastAsia="仿宋_GB2312"/>
          <w:b w:val="0"/>
          <w:sz w:val="32"/>
          <w:szCs w:val="32"/>
          <w:lang w:val="en-US" w:eastAsia="zh-CN"/>
        </w:rPr>
        <w:t>支出</w:t>
      </w:r>
      <w:r>
        <w:rPr>
          <w:rFonts w:ascii="仿宋_GB2312" w:eastAsia="仿宋_GB2312"/>
          <w:b w:val="0"/>
          <w:sz w:val="32"/>
          <w:szCs w:val="32"/>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w:t>
      </w:r>
      <w:r>
        <w:rPr>
          <w:rFonts w:hint="eastAsia" w:ascii="仿宋_GB2312" w:eastAsia="仿宋_GB2312"/>
          <w:b w:val="0"/>
          <w:sz w:val="32"/>
          <w:szCs w:val="32"/>
          <w:lang w:val="en-US" w:eastAsia="zh-CN"/>
        </w:rPr>
        <w:t>本</w:t>
      </w:r>
      <w:r>
        <w:rPr>
          <w:rFonts w:ascii="仿宋_GB2312" w:eastAsia="仿宋_GB2312"/>
          <w:b w:val="0"/>
          <w:sz w:val="32"/>
          <w:szCs w:val="32"/>
        </w:rPr>
        <w:t>单位年初预算</w:t>
      </w:r>
      <w:r>
        <w:rPr>
          <w:rFonts w:hint="eastAsia" w:ascii="仿宋_GB2312" w:eastAsia="仿宋_GB2312"/>
          <w:b w:val="0"/>
          <w:sz w:val="32"/>
          <w:szCs w:val="32"/>
          <w:lang w:val="en-US" w:eastAsia="zh-CN"/>
        </w:rPr>
        <w:t>未安排</w:t>
      </w:r>
      <w:r>
        <w:rPr>
          <w:rFonts w:ascii="仿宋_GB2312" w:eastAsia="仿宋_GB2312"/>
          <w:b w:val="0"/>
          <w:sz w:val="32"/>
          <w:szCs w:val="32"/>
        </w:rPr>
        <w:t>公务用车运行维护费</w:t>
      </w:r>
      <w:r>
        <w:rPr>
          <w:rFonts w:hint="eastAsia" w:ascii="仿宋_GB2312" w:eastAsia="仿宋_GB2312"/>
          <w:b w:val="0"/>
          <w:sz w:val="32"/>
          <w:szCs w:val="32"/>
          <w:lang w:val="en-US" w:eastAsia="zh-CN"/>
        </w:rPr>
        <w:t>支出</w:t>
      </w:r>
      <w:r>
        <w:rPr>
          <w:rFonts w:ascii="仿宋_GB2312" w:eastAsia="仿宋_GB2312"/>
          <w:b w:val="0"/>
          <w:sz w:val="32"/>
          <w:szCs w:val="32"/>
        </w:rPr>
        <w:t>。公务用车购置数0辆，公务用车保有量0辆。国有资产占用情况中固定资产车辆1辆，与公务用车保有量差异原因是：数据填报有误。</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本</w:t>
      </w:r>
      <w:r>
        <w:rPr>
          <w:rFonts w:ascii="仿宋_GB2312" w:eastAsia="仿宋_GB2312"/>
          <w:b w:val="0"/>
          <w:sz w:val="32"/>
          <w:szCs w:val="32"/>
        </w:rPr>
        <w:t>单位年初预算</w:t>
      </w:r>
      <w:r>
        <w:rPr>
          <w:rFonts w:hint="eastAsia" w:ascii="仿宋_GB2312" w:eastAsia="仿宋_GB2312"/>
          <w:b w:val="0"/>
          <w:sz w:val="32"/>
          <w:szCs w:val="32"/>
          <w:lang w:eastAsia="zh-CN"/>
        </w:rPr>
        <w:t>未安排</w:t>
      </w:r>
      <w:r>
        <w:rPr>
          <w:rFonts w:ascii="仿宋_GB2312" w:eastAsia="仿宋_GB2312"/>
          <w:b w:val="0"/>
          <w:sz w:val="32"/>
          <w:szCs w:val="32"/>
        </w:rPr>
        <w:t>公务接待费</w:t>
      </w:r>
      <w:r>
        <w:rPr>
          <w:rFonts w:hint="eastAsia" w:ascii="仿宋_GB2312" w:eastAsia="仿宋_GB2312"/>
          <w:b w:val="0"/>
          <w:sz w:val="32"/>
          <w:szCs w:val="32"/>
          <w:lang w:val="en-US" w:eastAsia="zh-CN"/>
        </w:rPr>
        <w:t>支出</w:t>
      </w:r>
      <w:r>
        <w:rPr>
          <w:rFonts w:ascii="仿宋_GB2312" w:eastAsia="仿宋_GB2312"/>
          <w:b w:val="0"/>
          <w:sz w:val="32"/>
          <w:szCs w:val="32"/>
        </w:rPr>
        <w:t>。单位全年安排的国内公务接待0批次，0人次。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bCs/>
          <w:sz w:val="32"/>
          <w:szCs w:val="32"/>
        </w:rPr>
        <w:t>与全年预算相比，</w:t>
      </w:r>
      <w:r>
        <w:rPr>
          <w:rFonts w:ascii="仿宋_GB2312" w:eastAsia="仿宋_GB2312"/>
          <w:b w:val="0"/>
          <w:sz w:val="32"/>
          <w:szCs w:val="32"/>
        </w:rPr>
        <w:t>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经费支出全年预算数0.00万元，决算数0.00万元，预决算差异率0.00%，主要原因是：</w:t>
      </w:r>
      <w:r>
        <w:rPr>
          <w:rFonts w:ascii="仿宋_GB2312" w:eastAsia="仿宋_GB2312"/>
          <w:sz w:val="32"/>
          <w:szCs w:val="32"/>
        </w:rPr>
        <w:t>本单位年初预算未安排</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w:t>
      </w:r>
      <w:r>
        <w:rPr>
          <w:rFonts w:ascii="仿宋_GB2312" w:eastAsia="仿宋_GB2312"/>
          <w:b w:val="0"/>
          <w:sz w:val="32"/>
          <w:szCs w:val="32"/>
        </w:rPr>
        <w:t>。其中：因公出国（境）费全年预算数0.00万元，决算数0.00万元，预决算差异率0.00%，主要原因是：</w:t>
      </w:r>
      <w:r>
        <w:rPr>
          <w:rFonts w:ascii="仿宋_GB2312" w:eastAsia="仿宋_GB2312"/>
          <w:sz w:val="32"/>
          <w:szCs w:val="32"/>
        </w:rPr>
        <w:t>本单位年初预算未安排因公出国（境）费支出</w:t>
      </w:r>
      <w:r>
        <w:rPr>
          <w:rFonts w:ascii="仿宋_GB2312" w:eastAsia="仿宋_GB2312"/>
          <w:b w:val="0"/>
          <w:sz w:val="32"/>
          <w:szCs w:val="32"/>
        </w:rPr>
        <w:t>；公务用车购置费全年预算数0.00万元，决算数0.00万元，预决算差异率0.00%，主要原因是：</w:t>
      </w:r>
      <w:r>
        <w:rPr>
          <w:rFonts w:ascii="仿宋_GB2312" w:eastAsia="仿宋_GB2312"/>
          <w:sz w:val="32"/>
          <w:szCs w:val="32"/>
        </w:rPr>
        <w:t>本单位年初预算未安排公务用车购置费支出</w:t>
      </w:r>
      <w:r>
        <w:rPr>
          <w:rFonts w:ascii="仿宋_GB2312" w:eastAsia="仿宋_GB2312"/>
          <w:b w:val="0"/>
          <w:sz w:val="32"/>
          <w:szCs w:val="32"/>
        </w:rPr>
        <w:t>；公务用车运行费全年预算数0.00万元，决算数0.00万元，预决算差异率0.00%，主要原因是</w:t>
      </w:r>
      <w:r>
        <w:rPr>
          <w:rFonts w:ascii="仿宋_GB2312" w:eastAsia="仿宋_GB2312"/>
          <w:sz w:val="32"/>
          <w:szCs w:val="32"/>
        </w:rPr>
        <w:t>：本单位年初预算未安排公务用车运行费支出</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bCs w:val="0"/>
          <w:sz w:val="32"/>
          <w:szCs w:val="32"/>
          <w:highlight w:val="none"/>
          <w:lang w:eastAsia="zh-CN"/>
        </w:rPr>
        <w:t>2024年未安排公务接待费支出</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w:t>
      </w:r>
      <w:r>
        <w:rPr>
          <w:rFonts w:hint="eastAsia" w:ascii="仿宋_GB2312" w:eastAsia="仿宋_GB2312"/>
          <w:b w:val="0"/>
          <w:sz w:val="32"/>
          <w:szCs w:val="32"/>
          <w:lang w:eastAsia="zh-CN"/>
        </w:rPr>
        <w:t>新疆维吾尔自治区文化和旅游厅机关服务中心</w:t>
      </w:r>
      <w:bookmarkStart w:id="1" w:name="_GoBack"/>
      <w:bookmarkEnd w:id="1"/>
      <w:r>
        <w:rPr>
          <w:rFonts w:ascii="仿宋_GB2312" w:eastAsia="仿宋_GB2312"/>
          <w:b w:val="0"/>
          <w:sz w:val="32"/>
          <w:szCs w:val="32"/>
        </w:rPr>
        <w:t>公用经费支出24.90万元，比上年增加0.73万元，增长3.02%，主要原因是：职工级别晋升，公用经费增加。</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2024年度政府采购支出总额74.03万元，其中：政府采购货物支出65.76万元、政府采购工程支出0.00万元、政府采购服务支出8.27万元。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授予中小企业合同金额74.03万元，占政府采购支出总额的100.00%，其中：授予小微企业合同金额74.03万元，占政府采购支出总额的100.00%。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8,592.44平方米，价值554.17万元。车辆1辆，价值31.93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b w:val="0"/>
          <w:sz w:val="32"/>
          <w:szCs w:val="32"/>
          <w:lang w:val="en-US" w:eastAsia="zh-CN"/>
        </w:rPr>
        <w:t>一般公务用车</w:t>
      </w:r>
      <w:r>
        <w:rPr>
          <w:rFonts w:hint="eastAsia" w:ascii="仿宋_GB2312" w:eastAsia="仿宋_GB2312"/>
          <w:b w:val="0"/>
          <w:sz w:val="32"/>
          <w:szCs w:val="32"/>
          <w:highlight w:val="none"/>
          <w:lang w:eastAsia="zh-CN"/>
        </w:rPr>
        <w:t>。</w:t>
      </w:r>
      <w:r>
        <w:rPr>
          <w:rFonts w:ascii="仿宋_GB2312" w:eastAsia="仿宋_GB2312"/>
          <w:b w:val="0"/>
          <w:sz w:val="32"/>
          <w:szCs w:val="32"/>
        </w:rPr>
        <w:t>单价100万元（含）以上设备（不含车辆）2台（套）。</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ascii="仿宋_GB2312" w:eastAsia="仿宋_GB2312"/>
          <w:b w:val="0"/>
          <w:bCs w:val="0"/>
          <w:color w:val="auto"/>
          <w:sz w:val="32"/>
          <w:szCs w:val="32"/>
          <w:highlight w:val="none"/>
        </w:rPr>
        <w:t>根据预算绩效管理要求，本单位2024年度预算绩效</w:t>
      </w:r>
      <w:r>
        <w:rPr>
          <w:rFonts w:hint="eastAsia" w:ascii="仿宋_GB2312" w:eastAsia="仿宋_GB2312"/>
          <w:b w:val="0"/>
          <w:bCs w:val="0"/>
          <w:color w:val="auto"/>
          <w:sz w:val="32"/>
          <w:szCs w:val="32"/>
          <w:highlight w:val="none"/>
          <w:lang w:eastAsia="zh-CN"/>
        </w:rPr>
        <w:t>评价项目</w:t>
      </w:r>
      <w:r>
        <w:rPr>
          <w:rFonts w:ascii="仿宋_GB2312" w:eastAsia="仿宋_GB2312"/>
          <w:b w:val="0"/>
          <w:bCs w:val="0"/>
          <w:color w:val="auto"/>
          <w:sz w:val="32"/>
          <w:szCs w:val="32"/>
          <w:highlight w:val="none"/>
        </w:rPr>
        <w:t>1个，全年预算</w:t>
      </w:r>
      <w:r>
        <w:rPr>
          <w:rFonts w:hint="eastAsia" w:ascii="仿宋_GB2312" w:eastAsia="仿宋_GB2312"/>
          <w:b w:val="0"/>
          <w:bCs w:val="0"/>
          <w:color w:val="auto"/>
          <w:sz w:val="32"/>
          <w:szCs w:val="32"/>
          <w:highlight w:val="none"/>
          <w:lang w:eastAsia="zh-CN"/>
        </w:rPr>
        <w:t>数</w:t>
      </w:r>
      <w:r>
        <w:rPr>
          <w:rFonts w:ascii="仿宋_GB2312" w:eastAsia="仿宋_GB2312"/>
          <w:b w:val="0"/>
          <w:bCs w:val="0"/>
          <w:color w:val="auto"/>
          <w:sz w:val="32"/>
          <w:szCs w:val="32"/>
          <w:highlight w:val="none"/>
        </w:rPr>
        <w:t>229.00万元，全年执行数229.00万元。</w:t>
      </w:r>
      <w:r>
        <w:rPr>
          <w:rFonts w:ascii="仿宋_GB2312" w:eastAsia="仿宋_GB2312"/>
          <w:b w:val="0"/>
          <w:sz w:val="32"/>
          <w:szCs w:val="32"/>
        </w:rPr>
        <w:t>预算绩效管理取得的成效：一是保障厅机关及服务中心正常运转、做好服务保障工作、设备维修维护工作以及资产管理工作；二是推进节能减排工作扎实开展、物业管理工作规范进行。发现的问题及原因：预算编制、执行等财务工作有待加强。下一步改进措施：一是更好的推进预算管理、支付管理、内控管理等方面的工作；二是进一步提高资产使用绩效、做好服务保障工作。</w:t>
      </w:r>
      <w:r>
        <w:rPr>
          <w:rFonts w:ascii="仿宋_GB2312" w:eastAsia="仿宋_GB2312"/>
          <w:b w:val="0"/>
          <w:sz w:val="32"/>
          <w:szCs w:val="32"/>
          <w:highlight w:val="none"/>
        </w:rPr>
        <w:t>具体附项目支出绩效自评表</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见附</w:t>
      </w:r>
      <w:r>
        <w:rPr>
          <w:rFonts w:hint="eastAsia" w:ascii="仿宋_GB2312" w:eastAsia="仿宋_GB2312"/>
          <w:b w:val="0"/>
          <w:sz w:val="32"/>
          <w:szCs w:val="32"/>
          <w:highlight w:val="none"/>
          <w:lang w:val="en-US" w:eastAsia="zh-CN"/>
        </w:rPr>
        <w:t>件2</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ascii="仿宋_GB2312" w:eastAsia="仿宋_GB2312"/>
          <w:sz w:val="32"/>
          <w:szCs w:val="32"/>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sz w:val="32"/>
          <w:szCs w:val="32"/>
        </w:rPr>
      </w:pPr>
      <w:r>
        <w:rPr>
          <w:b w:val="0"/>
          <w:sz w:val="0"/>
          <w:szCs w:val="0"/>
        </w:rPr>
        <w:br w:type="page"/>
      </w: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六、其他收入：</w:t>
      </w:r>
      <w:r>
        <w:rPr>
          <w:rFonts w:ascii="仿宋_GB2312" w:eastAsia="仿宋_GB2312"/>
          <w:b w:val="0"/>
          <w:sz w:val="32"/>
          <w:szCs w:val="32"/>
        </w:rPr>
        <w:t>指除上述</w:t>
      </w:r>
      <w:r>
        <w:rPr>
          <w:rFonts w:hint="eastAsia" w:ascii="仿宋_GB2312" w:eastAsia="仿宋_GB2312"/>
          <w:b w:val="0"/>
          <w:sz w:val="32"/>
          <w:szCs w:val="32"/>
          <w:lang w:eastAsia="zh-CN"/>
        </w:rPr>
        <w:t>“</w:t>
      </w:r>
      <w:r>
        <w:rPr>
          <w:rFonts w:ascii="仿宋_GB2312" w:eastAsia="仿宋_GB2312"/>
          <w:b w:val="0"/>
          <w:sz w:val="32"/>
          <w:szCs w:val="32"/>
        </w:rPr>
        <w:t>财政拨款收入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附属单位上缴收入</w:t>
      </w:r>
      <w:r>
        <w:rPr>
          <w:rFonts w:hint="eastAsia" w:ascii="仿宋_GB2312" w:eastAsia="仿宋_GB2312"/>
          <w:b w:val="0"/>
          <w:sz w:val="32"/>
          <w:szCs w:val="32"/>
          <w:lang w:eastAsia="zh-CN"/>
        </w:rPr>
        <w:t>”</w:t>
      </w:r>
      <w:r>
        <w:rPr>
          <w:rFonts w:ascii="仿宋_GB2312" w:eastAsia="仿宋_GB2312"/>
          <w:b w:val="0"/>
          <w:sz w:val="32"/>
          <w:szCs w:val="32"/>
        </w:rPr>
        <w:t>等之外取得的收入。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hint="eastAsia" w:ascii="仿宋_GB2312" w:hAnsi="仿宋_GB2312" w:eastAsia="仿宋_GB2312" w:cs="仿宋_GB2312"/>
          <w:b/>
          <w:bCs/>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b w:val="0"/>
          <w:sz w:val="32"/>
          <w:szCs w:val="32"/>
        </w:rPr>
      </w:pPr>
      <w:r>
        <w:rPr>
          <w:rFonts w:ascii="仿宋_GB2312" w:eastAsia="仿宋_GB2312"/>
          <w:b/>
          <w:bCs/>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ascii="仿宋_GB2312" w:eastAsia="仿宋_GB2312"/>
          <w:b w:val="0"/>
          <w:sz w:val="32"/>
          <w:szCs w:val="32"/>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黑体" w:eastAsia="黑体"/>
          <w:b w:val="0"/>
          <w:sz w:val="32"/>
          <w:szCs w:val="32"/>
        </w:rPr>
      </w:pP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w:t>
      </w:r>
      <w:r>
        <w:rPr>
          <w:rFonts w:ascii="黑体" w:eastAsia="黑体"/>
          <w:sz w:val="32"/>
          <w:szCs w:val="32"/>
        </w:rPr>
        <w:t>（见附</w:t>
      </w:r>
      <w:r>
        <w:rPr>
          <w:rFonts w:hint="eastAsia" w:ascii="黑体" w:eastAsia="黑体"/>
          <w:sz w:val="32"/>
          <w:szCs w:val="32"/>
          <w:lang w:val="en-US" w:eastAsia="zh-CN"/>
        </w:rPr>
        <w:t>件1</w:t>
      </w:r>
      <w:r>
        <w:rPr>
          <w:rFonts w:ascii="黑体" w:eastAsia="黑体"/>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p>
      <w:pPr>
        <w:pStyle w:val="2"/>
        <w:jc w:val="center"/>
        <w:rPr>
          <w:rFonts w:ascii="黑体" w:eastAsia="黑体" w:hAnsiTheme="minorHAnsi" w:cstheme="minorBidi"/>
          <w:b w:val="0"/>
          <w:bCs w:val="0"/>
          <w:color w:val="auto"/>
          <w:sz w:val="32"/>
          <w:szCs w:val="32"/>
        </w:rPr>
      </w:pPr>
      <w:r>
        <w:rPr>
          <w:rFonts w:ascii="黑体" w:eastAsia="黑体" w:hAnsiTheme="minorHAnsi" w:cstheme="minorBidi"/>
          <w:b w:val="0"/>
          <w:bCs w:val="0"/>
          <w:color w:val="auto"/>
          <w:sz w:val="32"/>
          <w:szCs w:val="32"/>
        </w:rPr>
        <w:t>第</w:t>
      </w:r>
      <w:r>
        <w:rPr>
          <w:rFonts w:hint="eastAsia" w:ascii="黑体" w:eastAsia="黑体" w:hAnsiTheme="minorHAnsi" w:cstheme="minorBidi"/>
          <w:b w:val="0"/>
          <w:bCs w:val="0"/>
          <w:color w:val="auto"/>
          <w:sz w:val="32"/>
          <w:szCs w:val="32"/>
          <w:lang w:val="en-US" w:eastAsia="zh-CN"/>
        </w:rPr>
        <w:t>五</w:t>
      </w:r>
      <w:r>
        <w:rPr>
          <w:rFonts w:ascii="黑体" w:eastAsia="黑体" w:hAnsiTheme="minorHAnsi" w:cstheme="minorBidi"/>
          <w:b w:val="0"/>
          <w:bCs w:val="0"/>
          <w:color w:val="auto"/>
          <w:sz w:val="32"/>
          <w:szCs w:val="32"/>
        </w:rPr>
        <w:t>部分</w:t>
      </w:r>
      <w:r>
        <w:rPr>
          <w:rFonts w:hint="eastAsia" w:ascii="黑体" w:eastAsia="黑体" w:hAnsiTheme="minorHAnsi" w:cstheme="minorBidi"/>
          <w:b w:val="0"/>
          <w:bCs w:val="0"/>
          <w:color w:val="auto"/>
          <w:sz w:val="32"/>
          <w:szCs w:val="32"/>
          <w:lang w:val="en-US" w:eastAsia="zh-CN"/>
        </w:rPr>
        <w:t xml:space="preserve"> 项目绩效自评表</w:t>
      </w:r>
      <w:r>
        <w:rPr>
          <w:rFonts w:ascii="黑体" w:eastAsia="黑体" w:hAnsiTheme="minorHAnsi" w:cstheme="minorBidi"/>
          <w:b w:val="0"/>
          <w:bCs w:val="0"/>
          <w:color w:val="auto"/>
          <w:sz w:val="32"/>
          <w:szCs w:val="32"/>
        </w:rPr>
        <w:t>（见附</w:t>
      </w:r>
      <w:r>
        <w:rPr>
          <w:rFonts w:hint="eastAsia" w:ascii="黑体" w:eastAsia="黑体" w:hAnsiTheme="minorHAnsi" w:cstheme="minorBidi"/>
          <w:b w:val="0"/>
          <w:bCs w:val="0"/>
          <w:color w:val="auto"/>
          <w:sz w:val="32"/>
          <w:szCs w:val="32"/>
          <w:lang w:val="en-US" w:eastAsia="zh-CN"/>
        </w:rPr>
        <w:t>件2</w:t>
      </w:r>
      <w:r>
        <w:rPr>
          <w:rFonts w:ascii="黑体" w:eastAsia="黑体" w:hAnsiTheme="minorHAnsi" w:cstheme="minorBidi"/>
          <w:b w:val="0"/>
          <w:bCs w:val="0"/>
          <w:color w:val="auto"/>
          <w:sz w:val="32"/>
          <w:szCs w:val="32"/>
        </w:rPr>
        <w:t>）</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rsids>
    <w:rsidRoot w:val="00000000"/>
    <w:rsid w:val="013E1361"/>
    <w:rsid w:val="04B80631"/>
    <w:rsid w:val="061331B8"/>
    <w:rsid w:val="104D4AA3"/>
    <w:rsid w:val="23EB78ED"/>
    <w:rsid w:val="2A6C3FAE"/>
    <w:rsid w:val="315B0971"/>
    <w:rsid w:val="31F63EBE"/>
    <w:rsid w:val="31F91474"/>
    <w:rsid w:val="36B55CFD"/>
    <w:rsid w:val="3A0B14E1"/>
    <w:rsid w:val="3AD76874"/>
    <w:rsid w:val="3B0A69B4"/>
    <w:rsid w:val="3D4C399C"/>
    <w:rsid w:val="3E930C0C"/>
    <w:rsid w:val="3F566213"/>
    <w:rsid w:val="49532683"/>
    <w:rsid w:val="633D50FF"/>
    <w:rsid w:val="6DB664F0"/>
    <w:rsid w:val="6FF509FD"/>
    <w:rsid w:val="73E46BDD"/>
    <w:rsid w:val="76E96824"/>
    <w:rsid w:val="7847015E"/>
    <w:rsid w:val="7FFF93ED"/>
    <w:rsid w:val="EFD90EF3"/>
    <w:rsid w:val="F1F5B9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rPr>
  </w:style>
  <w:style w:type="paragraph" w:styleId="2">
    <w:name w:val="heading 2"/>
    <w:basedOn w:val="1"/>
    <w:next w:val="1"/>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c 3"/>
    <w:basedOn w:val="1"/>
    <w:next w:val="1"/>
    <w:qFormat/>
    <w:uiPriority w:val="0"/>
    <w:pPr>
      <w:ind w:left="840" w:leftChars="400"/>
    </w:pPr>
  </w:style>
  <w:style w:type="paragraph" w:styleId="4">
    <w:name w:val="toc 1"/>
    <w:basedOn w:val="1"/>
    <w:next w:val="1"/>
    <w:qFormat/>
    <w:uiPriority w:val="0"/>
  </w:style>
  <w:style w:type="paragraph" w:styleId="5">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TotalTime>11</TotalTime>
  <ScaleCrop>false</ScaleCrop>
  <LinksUpToDate>false</LinksUpToDate>
  <Application>WPS Office_11.8.2.10251_F1E327BC-269C-435d-A152-05C5408002CA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2025-08-19T02:31:00Z</dcterms:created>
  <dc:creator>cw</dc:creator>
  <cp:lastModifiedBy>wlt</cp:lastModifiedBy>
  <dcterms:modified xsi:type="dcterms:W3CDTF">2025-08-28T12:18:21Z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85D3DFA0932644D082177E4644AA1EF1_12</vt:lpwstr>
  </property>
</Properties>
</file>